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4B054E43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804">
        <w:rPr>
          <w:rFonts w:ascii="Times New Roman" w:hAnsi="Times New Roman" w:cs="Times New Roman"/>
          <w:color w:val="000000" w:themeColor="text1"/>
          <w:sz w:val="28"/>
          <w:szCs w:val="28"/>
        </w:rPr>
        <w:t>administrowania obiektami komunalnymi</w:t>
      </w:r>
    </w:p>
    <w:p w14:paraId="64888155" w14:textId="31EB5295" w:rsidR="00413D0D" w:rsidRPr="00F5636A" w:rsidRDefault="0053121A" w:rsidP="00CD405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Wydziale ds.</w:t>
      </w:r>
      <w:r w:rsidR="00AB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Obywatelskich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B1804"/>
    <w:rsid w:val="00C07657"/>
    <w:rsid w:val="00C67B27"/>
    <w:rsid w:val="00CB2AF8"/>
    <w:rsid w:val="00CD4053"/>
    <w:rsid w:val="00D9281D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51</cp:revision>
  <dcterms:created xsi:type="dcterms:W3CDTF">2014-02-07T06:45:00Z</dcterms:created>
  <dcterms:modified xsi:type="dcterms:W3CDTF">2022-08-10T09:38:00Z</dcterms:modified>
</cp:coreProperties>
</file>