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24366" w:rsidRDefault="00414854" w:rsidP="00414854">
            <w:pPr>
              <w:pStyle w:val="Tekstpodstawowy"/>
              <w:spacing w:line="276" w:lineRule="auto"/>
              <w:jc w:val="center"/>
              <w:rPr>
                <w:i/>
                <w:sz w:val="28"/>
                <w:szCs w:val="28"/>
                <w:lang w:eastAsia="en-US"/>
              </w:rPr>
            </w:pPr>
            <w:r>
              <w:rPr>
                <w:i/>
                <w:sz w:val="28"/>
                <w:szCs w:val="28"/>
                <w:lang w:eastAsia="en-US"/>
              </w:rPr>
              <w:t>Budowa chodnika ul. Długa w Mierzynie (kolonia)</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414854">
            <w:pPr>
              <w:spacing w:line="276" w:lineRule="auto"/>
              <w:jc w:val="center"/>
              <w:rPr>
                <w:sz w:val="22"/>
                <w:szCs w:val="22"/>
                <w:lang w:eastAsia="en-US"/>
              </w:rPr>
            </w:pPr>
            <w:r w:rsidRPr="00E45DA3">
              <w:rPr>
                <w:sz w:val="22"/>
                <w:szCs w:val="22"/>
                <w:lang w:eastAsia="en-US"/>
              </w:rPr>
              <w:t>WKI.ZP.271.</w:t>
            </w:r>
            <w:r w:rsidR="00414854">
              <w:rPr>
                <w:sz w:val="22"/>
                <w:szCs w:val="22"/>
                <w:lang w:eastAsia="en-US"/>
              </w:rPr>
              <w:t>15</w:t>
            </w:r>
            <w:r w:rsidR="003D46B2">
              <w:rPr>
                <w:sz w:val="22"/>
                <w:szCs w:val="22"/>
                <w:lang w:eastAsia="en-US"/>
              </w:rPr>
              <w:t>.2018.LT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3D46B2" w:rsidP="003D46B2">
            <w:pPr>
              <w:spacing w:line="276" w:lineRule="auto"/>
              <w:jc w:val="center"/>
              <w:rPr>
                <w:i/>
                <w:sz w:val="22"/>
                <w:szCs w:val="22"/>
                <w:lang w:eastAsia="en-US"/>
              </w:rPr>
            </w:pPr>
            <w:r>
              <w:rPr>
                <w:i/>
                <w:sz w:val="22"/>
                <w:szCs w:val="22"/>
                <w:lang w:eastAsia="en-US"/>
              </w:rPr>
              <w:t>L.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2A66B3" w:rsidRDefault="002A66B3" w:rsidP="00C030D3">
            <w:pPr>
              <w:spacing w:line="276" w:lineRule="auto"/>
              <w:jc w:val="center"/>
              <w:rPr>
                <w:sz w:val="22"/>
                <w:szCs w:val="22"/>
                <w:lang w:eastAsia="en-US"/>
              </w:rPr>
            </w:pPr>
            <w:r>
              <w:rPr>
                <w:sz w:val="22"/>
                <w:szCs w:val="22"/>
                <w:lang w:eastAsia="en-US"/>
              </w:rPr>
              <w:t>Wójt Gminy Dobra</w:t>
            </w:r>
          </w:p>
          <w:p w:rsidR="002A66B3" w:rsidRDefault="002A66B3" w:rsidP="00C030D3">
            <w:pPr>
              <w:spacing w:line="276" w:lineRule="auto"/>
              <w:jc w:val="center"/>
              <w:rPr>
                <w:sz w:val="22"/>
                <w:szCs w:val="22"/>
                <w:lang w:eastAsia="en-US"/>
              </w:rPr>
            </w:pPr>
            <w:r>
              <w:rPr>
                <w:sz w:val="22"/>
                <w:szCs w:val="22"/>
                <w:lang w:eastAsia="en-US"/>
              </w:rP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F42C09" w:rsidRPr="00E45DA3"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3A60A2">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E45DA3" w:rsidRDefault="00B36555" w:rsidP="00E45DA3">
      <w:pPr>
        <w:spacing w:line="276" w:lineRule="auto"/>
        <w:ind w:left="360" w:firstLine="66"/>
        <w:jc w:val="center"/>
        <w:rPr>
          <w:b/>
          <w:color w:val="000000"/>
          <w:sz w:val="22"/>
          <w:szCs w:val="22"/>
        </w:rPr>
      </w:pPr>
      <w:r>
        <w:rPr>
          <w:b/>
          <w:color w:val="000000"/>
          <w:sz w:val="22"/>
          <w:szCs w:val="22"/>
        </w:rPr>
        <w:t>„</w:t>
      </w:r>
      <w:r w:rsidR="000D796C" w:rsidRPr="000D796C">
        <w:rPr>
          <w:b/>
          <w:color w:val="000000"/>
          <w:sz w:val="22"/>
          <w:szCs w:val="22"/>
        </w:rPr>
        <w:t>Budowa chodnika ul. Długa w Mierzynie (kolonia)</w:t>
      </w:r>
      <w:r w:rsidR="00C030D3" w:rsidRPr="00E45DA3">
        <w:rPr>
          <w:b/>
          <w:color w:val="000000"/>
          <w:sz w:val="22"/>
          <w:szCs w:val="22"/>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D062F8">
        <w:rPr>
          <w:b/>
          <w:sz w:val="22"/>
          <w:szCs w:val="22"/>
        </w:rPr>
        <w:t xml:space="preserve">. </w:t>
      </w:r>
      <w:r w:rsidR="000D796C">
        <w:rPr>
          <w:b/>
          <w:sz w:val="22"/>
          <w:szCs w:val="22"/>
        </w:rPr>
        <w:t>15.03</w:t>
      </w:r>
      <w:r w:rsidR="0089283D" w:rsidRPr="00F15275">
        <w:rPr>
          <w:b/>
          <w:sz w:val="22"/>
          <w:szCs w:val="22"/>
        </w:rPr>
        <w:t>.2018</w:t>
      </w:r>
      <w:r w:rsidR="00E8182C" w:rsidRPr="00F15275">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3A60A2">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3A60A2">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3A60A2">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3A60A2">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3A60A2">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3A60A2">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xml:space="preserve">. Informacje </w:t>
      </w:r>
      <w:r w:rsidRPr="00E45DA3">
        <w:rPr>
          <w:sz w:val="22"/>
          <w:szCs w:val="22"/>
        </w:rPr>
        <w:lastRenderedPageBreak/>
        <w:t>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C030D3">
      <w:pPr>
        <w:spacing w:line="276" w:lineRule="auto"/>
        <w:ind w:left="426"/>
        <w:jc w:val="both"/>
        <w:rPr>
          <w:b/>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3A60A2">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E6F5D" w:rsidRPr="00E45DA3" w:rsidRDefault="004E6F5D" w:rsidP="00C030D3">
      <w:pPr>
        <w:pStyle w:val="Akapitzlist"/>
        <w:numPr>
          <w:ilvl w:val="1"/>
          <w:numId w:val="8"/>
        </w:numPr>
        <w:tabs>
          <w:tab w:val="num" w:pos="284"/>
          <w:tab w:val="num" w:pos="567"/>
        </w:tabs>
        <w:spacing w:after="0"/>
        <w:ind w:left="567" w:hanging="283"/>
        <w:jc w:val="both"/>
        <w:rPr>
          <w:rFonts w:ascii="Times New Roman" w:hAnsi="Times New Roman"/>
        </w:rPr>
      </w:pPr>
      <w:r w:rsidRPr="00E45DA3">
        <w:rPr>
          <w:rFonts w:ascii="Times New Roman" w:hAnsi="Times New Roman"/>
        </w:rPr>
        <w:t>ar</w:t>
      </w:r>
      <w:r w:rsidR="00AE3CC0">
        <w:rPr>
          <w:rFonts w:ascii="Times New Roman" w:hAnsi="Times New Roman"/>
        </w:rPr>
        <w:t>t. 24 ust. 5 pkt 1)</w:t>
      </w:r>
      <w:r w:rsidR="00BD6233" w:rsidRPr="00E45DA3">
        <w:rPr>
          <w:rFonts w:ascii="Times New Roman" w:hAnsi="Times New Roman"/>
        </w:rPr>
        <w:t xml:space="preserve"> </w:t>
      </w:r>
      <w:r w:rsidRPr="00E45DA3">
        <w:rPr>
          <w:rFonts w:ascii="Times New Roman" w:hAnsi="Times New Roman"/>
        </w:rPr>
        <w:t xml:space="preserve">ustawy; wykluczeniu na tej podstawie podlega wykonawca: </w:t>
      </w:r>
    </w:p>
    <w:p w:rsidR="004E6F5D" w:rsidRPr="00E45DA3" w:rsidRDefault="004E6F5D" w:rsidP="00C030D3">
      <w:pPr>
        <w:pStyle w:val="ZLITPKTzmpktliter"/>
        <w:spacing w:line="276" w:lineRule="auto"/>
        <w:ind w:left="851" w:hanging="284"/>
        <w:rPr>
          <w:rFonts w:ascii="Times New Roman" w:hAnsi="Times New Roman" w:cs="Times New Roman"/>
          <w:sz w:val="22"/>
          <w:szCs w:val="22"/>
        </w:rPr>
      </w:pPr>
      <w:r w:rsidRPr="00E45DA3">
        <w:rPr>
          <w:rFonts w:ascii="Times New Roman" w:hAnsi="Times New Roman" w:cs="Times New Roman"/>
          <w:sz w:val="22"/>
          <w:szCs w:val="22"/>
        </w:rPr>
        <w:t>a)</w:t>
      </w:r>
      <w:r w:rsidRPr="00E45DA3">
        <w:rPr>
          <w:rFonts w:ascii="Times New Roman" w:hAnsi="Times New Roman" w:cs="Times New Roman"/>
          <w:sz w:val="22"/>
          <w:szCs w:val="22"/>
        </w:rPr>
        <w:tab/>
        <w:t xml:space="preserve">w stosunku do którego otwarto likwidację, w zatwierdzonym przez sąd układzie </w:t>
      </w:r>
      <w:r w:rsidR="003A60A2">
        <w:rPr>
          <w:rFonts w:ascii="Times New Roman" w:hAnsi="Times New Roman" w:cs="Times New Roman"/>
          <w:sz w:val="22"/>
          <w:szCs w:val="22"/>
        </w:rPr>
        <w:br/>
      </w:r>
      <w:r w:rsidRPr="00E45DA3">
        <w:rPr>
          <w:rFonts w:ascii="Times New Roman" w:hAnsi="Times New Roman" w:cs="Times New Roman"/>
          <w:sz w:val="22"/>
          <w:szCs w:val="22"/>
        </w:rPr>
        <w:t xml:space="preserve">w postępowaniu restrukturyzacyjnym jest przewidziane zaspokojenie wierzycieli przez likwidację jego majątku lub sąd zarządził likwidację jego majątku w trybie art. 332 ust. </w:t>
      </w:r>
      <w:r w:rsidR="003A60A2">
        <w:rPr>
          <w:rFonts w:ascii="Times New Roman" w:hAnsi="Times New Roman" w:cs="Times New Roman"/>
          <w:sz w:val="22"/>
          <w:szCs w:val="22"/>
        </w:rPr>
        <w:br/>
      </w:r>
      <w:r w:rsidRPr="00E45DA3">
        <w:rPr>
          <w:rFonts w:ascii="Times New Roman" w:hAnsi="Times New Roman" w:cs="Times New Roman"/>
          <w:sz w:val="22"/>
          <w:szCs w:val="22"/>
        </w:rPr>
        <w:t>1 ustawy z dnia 15 maja 2015 r. – Prawo restrukturyzacyjne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1574</w:t>
      </w:r>
      <w:r w:rsidRPr="00E45DA3">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2171</w:t>
      </w:r>
      <w:r w:rsidR="00316B76">
        <w:rPr>
          <w:rFonts w:ascii="Times New Roman" w:hAnsi="Times New Roman" w:cs="Times New Roman"/>
          <w:sz w:val="22"/>
          <w:szCs w:val="22"/>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D062F8" w:rsidRPr="00D062F8" w:rsidRDefault="0041223F" w:rsidP="00F15275">
      <w:pPr>
        <w:spacing w:line="276" w:lineRule="auto"/>
        <w:ind w:left="851"/>
        <w:jc w:val="both"/>
        <w:rPr>
          <w:sz w:val="22"/>
          <w:szCs w:val="22"/>
        </w:rPr>
      </w:pPr>
      <w:r w:rsidRPr="00E45DA3">
        <w:rPr>
          <w:sz w:val="22"/>
          <w:szCs w:val="22"/>
        </w:rPr>
        <w:t>Zamawiający uzna, że wykonawca posiada wymagane zdolności zawodowe zapewniające należyte wykona</w:t>
      </w:r>
      <w:r w:rsidR="00D3733E" w:rsidRPr="00E45DA3">
        <w:rPr>
          <w:sz w:val="22"/>
          <w:szCs w:val="22"/>
        </w:rPr>
        <w:t>nie zamówienia, jeżeli</w:t>
      </w:r>
      <w:r w:rsidRPr="00E45DA3">
        <w:rPr>
          <w:sz w:val="22"/>
          <w:szCs w:val="22"/>
        </w:rPr>
        <w:t xml:space="preserve"> wykaże, że wykonał należycie w okresie pięciu lat przed upływem terminu składania ofert, a jeżeli okres prowadzenia działalności jest krótszy – w tym okresie</w:t>
      </w:r>
      <w:r w:rsidR="002557C1" w:rsidRPr="00E45DA3">
        <w:rPr>
          <w:sz w:val="22"/>
          <w:szCs w:val="22"/>
        </w:rPr>
        <w:t>,</w:t>
      </w:r>
      <w:r w:rsidRPr="00E45DA3">
        <w:rPr>
          <w:sz w:val="22"/>
          <w:szCs w:val="22"/>
        </w:rPr>
        <w:t xml:space="preserve"> </w:t>
      </w:r>
      <w:r w:rsidR="00472176" w:rsidRPr="00E45DA3">
        <w:rPr>
          <w:sz w:val="22"/>
          <w:szCs w:val="22"/>
        </w:rPr>
        <w:t>co najmniej</w:t>
      </w:r>
      <w:r w:rsidR="00F812FC" w:rsidRPr="00E45DA3">
        <w:rPr>
          <w:sz w:val="22"/>
          <w:szCs w:val="22"/>
        </w:rPr>
        <w:t xml:space="preserve"> </w:t>
      </w:r>
      <w:r w:rsidR="00D062F8">
        <w:rPr>
          <w:sz w:val="22"/>
          <w:szCs w:val="22"/>
        </w:rPr>
        <w:t xml:space="preserve">dwie </w:t>
      </w:r>
      <w:r w:rsidR="00346B84" w:rsidRPr="00E45DA3">
        <w:rPr>
          <w:sz w:val="22"/>
          <w:szCs w:val="22"/>
        </w:rPr>
        <w:t>robot</w:t>
      </w:r>
      <w:r w:rsidR="00D062F8">
        <w:rPr>
          <w:sz w:val="22"/>
          <w:szCs w:val="22"/>
        </w:rPr>
        <w:t>y</w:t>
      </w:r>
      <w:r w:rsidR="00346B84" w:rsidRPr="00E45DA3">
        <w:rPr>
          <w:sz w:val="22"/>
          <w:szCs w:val="22"/>
        </w:rPr>
        <w:t xml:space="preserve"> budowlan</w:t>
      </w:r>
      <w:r w:rsidR="00D062F8">
        <w:rPr>
          <w:sz w:val="22"/>
          <w:szCs w:val="22"/>
        </w:rPr>
        <w:t>e</w:t>
      </w:r>
      <w:r w:rsidR="00346B84" w:rsidRPr="00E45DA3">
        <w:rPr>
          <w:sz w:val="22"/>
          <w:szCs w:val="22"/>
        </w:rPr>
        <w:t xml:space="preserve"> podobn</w:t>
      </w:r>
      <w:r w:rsidR="00D062F8">
        <w:rPr>
          <w:sz w:val="22"/>
          <w:szCs w:val="22"/>
        </w:rPr>
        <w:t>e</w:t>
      </w:r>
      <w:r w:rsidR="00C030D3" w:rsidRPr="00E45DA3">
        <w:rPr>
          <w:sz w:val="22"/>
          <w:szCs w:val="22"/>
        </w:rPr>
        <w:t xml:space="preserve"> do przedmiotu zamówienia </w:t>
      </w:r>
      <w:r w:rsidR="00C030D3" w:rsidRPr="00171A22">
        <w:rPr>
          <w:sz w:val="22"/>
          <w:szCs w:val="22"/>
        </w:rPr>
        <w:t>tj.:</w:t>
      </w:r>
      <w:r w:rsidR="00346B84" w:rsidRPr="00732ACB">
        <w:rPr>
          <w:i/>
          <w:color w:val="FF0000"/>
          <w:sz w:val="22"/>
          <w:szCs w:val="22"/>
        </w:rPr>
        <w:t xml:space="preserve"> </w:t>
      </w:r>
      <w:r w:rsidR="00346B84" w:rsidRPr="00F15275">
        <w:rPr>
          <w:i/>
          <w:sz w:val="22"/>
          <w:szCs w:val="22"/>
        </w:rPr>
        <w:t xml:space="preserve">robotę polegającą na </w:t>
      </w:r>
      <w:r w:rsidR="0089283D" w:rsidRPr="00F15275">
        <w:rPr>
          <w:i/>
          <w:sz w:val="22"/>
          <w:szCs w:val="22"/>
        </w:rPr>
        <w:t xml:space="preserve">wykonaniu </w:t>
      </w:r>
      <w:r w:rsidR="00F15275" w:rsidRPr="00F15275">
        <w:rPr>
          <w:i/>
          <w:sz w:val="22"/>
          <w:szCs w:val="22"/>
        </w:rPr>
        <w:t>drogi/</w:t>
      </w:r>
      <w:r w:rsidR="00D062F8" w:rsidRPr="00F15275">
        <w:rPr>
          <w:i/>
          <w:sz w:val="22"/>
          <w:szCs w:val="22"/>
        </w:rPr>
        <w:t>chodnika/ parkingu/ placu z kostki brukowej</w:t>
      </w:r>
      <w:r w:rsidR="00D24366" w:rsidRPr="00F15275">
        <w:rPr>
          <w:i/>
          <w:sz w:val="22"/>
          <w:szCs w:val="22"/>
        </w:rPr>
        <w:t xml:space="preserve"> </w:t>
      </w:r>
      <w:r w:rsidR="00F812FC" w:rsidRPr="00F15275">
        <w:rPr>
          <w:i/>
          <w:sz w:val="22"/>
          <w:szCs w:val="22"/>
        </w:rPr>
        <w:t xml:space="preserve">o wartości </w:t>
      </w:r>
      <w:r w:rsidR="00D24366" w:rsidRPr="00F15275">
        <w:rPr>
          <w:i/>
          <w:sz w:val="22"/>
          <w:szCs w:val="22"/>
        </w:rPr>
        <w:t xml:space="preserve">minimum </w:t>
      </w:r>
      <w:r w:rsidR="0089283D" w:rsidRPr="00F15275">
        <w:rPr>
          <w:i/>
          <w:sz w:val="22"/>
          <w:szCs w:val="22"/>
        </w:rPr>
        <w:t>1</w:t>
      </w:r>
      <w:r w:rsidR="00974686" w:rsidRPr="00F15275">
        <w:rPr>
          <w:i/>
          <w:sz w:val="22"/>
          <w:szCs w:val="22"/>
        </w:rPr>
        <w:t>00</w:t>
      </w:r>
      <w:r w:rsidR="00F812FC" w:rsidRPr="00F15275">
        <w:rPr>
          <w:i/>
          <w:sz w:val="22"/>
          <w:szCs w:val="22"/>
        </w:rPr>
        <w:t xml:space="preserve"> 000 zł brutto</w:t>
      </w:r>
      <w:r w:rsidR="00346B84" w:rsidRPr="00F15275">
        <w:rPr>
          <w:i/>
          <w:sz w:val="22"/>
          <w:szCs w:val="22"/>
        </w:rPr>
        <w:t>.</w:t>
      </w:r>
    </w:p>
    <w:p w:rsidR="003E71B5" w:rsidRPr="00E45DA3" w:rsidRDefault="003E71B5" w:rsidP="0054648E">
      <w:pPr>
        <w:tabs>
          <w:tab w:val="left" w:pos="1276"/>
        </w:tabs>
        <w:spacing w:line="276" w:lineRule="auto"/>
        <w:ind w:firstLine="567"/>
        <w:jc w:val="both"/>
        <w:rPr>
          <w:sz w:val="22"/>
          <w:szCs w:val="22"/>
        </w:rPr>
      </w:pPr>
      <w:r w:rsidRPr="00E45DA3">
        <w:rPr>
          <w:sz w:val="22"/>
          <w:szCs w:val="22"/>
        </w:rPr>
        <w:t>b) zdolności techniczne:</w:t>
      </w:r>
    </w:p>
    <w:p w:rsidR="00623206" w:rsidRDefault="00472176" w:rsidP="00623206">
      <w:pPr>
        <w:pStyle w:val="Akapitzlist"/>
        <w:ind w:left="851"/>
        <w:jc w:val="both"/>
        <w:rPr>
          <w:rFonts w:ascii="Times New Roman" w:hAnsi="Times New Roman"/>
        </w:rPr>
      </w:pPr>
      <w:r w:rsidRPr="00E45DA3">
        <w:rPr>
          <w:rFonts w:ascii="Times New Roman" w:hAnsi="Times New Roman"/>
        </w:rPr>
        <w:t>Zamawiający uzna, że wykonawca posiada wymagane zdolności techniczne zapewniające należyte wykona</w:t>
      </w:r>
      <w:r w:rsidR="002557C1" w:rsidRPr="00E45DA3">
        <w:rPr>
          <w:rFonts w:ascii="Times New Roman" w:hAnsi="Times New Roman"/>
        </w:rPr>
        <w:t>nie zamówienia, jeżeli</w:t>
      </w:r>
      <w:r w:rsidRPr="00E45DA3">
        <w:rPr>
          <w:rFonts w:ascii="Times New Roman" w:hAnsi="Times New Roman"/>
        </w:rPr>
        <w:t xml:space="preserve"> wykaże, że dysponuje lub będzie dysponować</w:t>
      </w:r>
      <w:r w:rsidR="00D2290D" w:rsidRPr="00E45DA3">
        <w:rPr>
          <w:rFonts w:ascii="Times New Roman" w:hAnsi="Times New Roman"/>
        </w:rPr>
        <w:t>:</w:t>
      </w:r>
      <w:r w:rsidR="00746AF2">
        <w:rPr>
          <w:rFonts w:ascii="Times New Roman" w:hAnsi="Times New Roman"/>
        </w:rPr>
        <w:t xml:space="preserve"> </w:t>
      </w:r>
    </w:p>
    <w:p w:rsidR="00623206" w:rsidRPr="00F15275" w:rsidRDefault="00623206" w:rsidP="00623206">
      <w:pPr>
        <w:pStyle w:val="Akapitzlist"/>
        <w:ind w:left="851"/>
        <w:jc w:val="both"/>
        <w:rPr>
          <w:rFonts w:ascii="Times New Roman" w:hAnsi="Times New Roman"/>
          <w:i/>
        </w:rPr>
      </w:pPr>
      <w:r w:rsidRPr="00F15275">
        <w:rPr>
          <w:rFonts w:ascii="Times New Roman" w:hAnsi="Times New Roman"/>
          <w:i/>
        </w:rPr>
        <w:t xml:space="preserve">1) osobą posiadającą uprawnienia </w:t>
      </w:r>
      <w:r w:rsidR="00F15275" w:rsidRPr="00F15275">
        <w:rPr>
          <w:rFonts w:ascii="Times New Roman" w:hAnsi="Times New Roman"/>
          <w:i/>
        </w:rPr>
        <w:t>drogowe</w:t>
      </w:r>
      <w:r w:rsidR="00E8182C" w:rsidRPr="00F15275">
        <w:rPr>
          <w:rFonts w:ascii="Times New Roman" w:hAnsi="Times New Roman"/>
          <w:i/>
        </w:rPr>
        <w:t xml:space="preserve"> - kierownik budowy,</w:t>
      </w:r>
    </w:p>
    <w:p w:rsidR="00472176" w:rsidRPr="00D062F8" w:rsidRDefault="00472176" w:rsidP="00171A22">
      <w:pPr>
        <w:pStyle w:val="Akapitzlist"/>
        <w:spacing w:after="0"/>
        <w:ind w:left="284"/>
        <w:jc w:val="both"/>
        <w:rPr>
          <w:rFonts w:ascii="Times New Roman" w:hAnsi="Times New Roman"/>
          <w:i/>
        </w:rPr>
      </w:pPr>
      <w:r w:rsidRPr="00D062F8">
        <w:rPr>
          <w:rFonts w:ascii="Times New Roman" w:hAnsi="Times New Roman"/>
          <w:i/>
        </w:rPr>
        <w:t>Zgodnie z art. 104 ustawy z dnia 7 lipca 1994 r. Pra</w:t>
      </w:r>
      <w:r w:rsidR="00106940" w:rsidRPr="00D062F8">
        <w:rPr>
          <w:rFonts w:ascii="Times New Roman" w:hAnsi="Times New Roman"/>
          <w:i/>
        </w:rPr>
        <w:t>wo budowlane (t</w:t>
      </w:r>
      <w:r w:rsidR="00BC415C" w:rsidRPr="00D062F8">
        <w:rPr>
          <w:rFonts w:ascii="Times New Roman" w:hAnsi="Times New Roman"/>
          <w:i/>
        </w:rPr>
        <w:t>j. Dz.U. z 201</w:t>
      </w:r>
      <w:r w:rsidR="00380BF0" w:rsidRPr="00D062F8">
        <w:rPr>
          <w:rFonts w:ascii="Times New Roman" w:hAnsi="Times New Roman"/>
          <w:i/>
        </w:rPr>
        <w:t xml:space="preserve">7 </w:t>
      </w:r>
      <w:r w:rsidR="00BC415C" w:rsidRPr="00D062F8">
        <w:rPr>
          <w:rFonts w:ascii="Times New Roman" w:hAnsi="Times New Roman"/>
          <w:i/>
        </w:rPr>
        <w:t xml:space="preserve">r. </w:t>
      </w:r>
      <w:r w:rsidRPr="00D062F8">
        <w:rPr>
          <w:rFonts w:ascii="Times New Roman" w:hAnsi="Times New Roman"/>
          <w:i/>
        </w:rPr>
        <w:t xml:space="preserve">poz. </w:t>
      </w:r>
      <w:r w:rsidR="00380BF0" w:rsidRPr="00D062F8">
        <w:rPr>
          <w:rFonts w:ascii="Times New Roman" w:hAnsi="Times New Roman"/>
          <w:i/>
        </w:rPr>
        <w:t>1332</w:t>
      </w:r>
      <w:r w:rsidRPr="00D062F8">
        <w:rPr>
          <w:rFonts w:ascii="Times New Roman" w:hAnsi="Times New Roman"/>
          <w:i/>
        </w:rPr>
        <w:t>) osoby, które przed dniem wejścia w życie ustawy uzyskały uprawnienia budowlane lub stwierdzenie posiadania przygotowania zawodowego do pełnienia samo</w:t>
      </w:r>
      <w:r w:rsidR="00420F71" w:rsidRPr="00D062F8">
        <w:rPr>
          <w:rFonts w:ascii="Times New Roman" w:hAnsi="Times New Roman"/>
          <w:i/>
        </w:rPr>
        <w:t xml:space="preserve">dzielnych funkcji technicznych </w:t>
      </w:r>
      <w:r w:rsidRPr="00D062F8">
        <w:rPr>
          <w:rFonts w:ascii="Times New Roman" w:hAnsi="Times New Roman"/>
          <w:i/>
        </w:rPr>
        <w:t>w budownictwie, zachowują uprawnienia do pełnienia tych fu</w:t>
      </w:r>
      <w:r w:rsidR="00420F71" w:rsidRPr="00D062F8">
        <w:rPr>
          <w:rFonts w:ascii="Times New Roman" w:hAnsi="Times New Roman"/>
          <w:i/>
        </w:rPr>
        <w:t xml:space="preserve">nkcji </w:t>
      </w:r>
      <w:r w:rsidR="003A60A2" w:rsidRPr="00D062F8">
        <w:rPr>
          <w:rFonts w:ascii="Times New Roman" w:hAnsi="Times New Roman"/>
          <w:i/>
        </w:rPr>
        <w:br/>
      </w:r>
      <w:r w:rsidRPr="00D062F8">
        <w:rPr>
          <w:rFonts w:ascii="Times New Roman" w:hAnsi="Times New Roman"/>
          <w:i/>
        </w:rPr>
        <w:t xml:space="preserve">w dotychczasowym zakresie. Zakres uprawnień budowlanych należy odczytywać zgodnie </w:t>
      </w:r>
      <w:r w:rsidR="003A60A2" w:rsidRPr="00D062F8">
        <w:rPr>
          <w:rFonts w:ascii="Times New Roman" w:hAnsi="Times New Roman"/>
          <w:i/>
        </w:rPr>
        <w:br/>
      </w:r>
      <w:r w:rsidRPr="00D062F8">
        <w:rPr>
          <w:rFonts w:ascii="Times New Roman" w:hAnsi="Times New Roman"/>
          <w:i/>
        </w:rPr>
        <w:t xml:space="preserve">z treścią decyzji o ich nadaniu i w oparciu o przepisy będące podstawą ich nadania. </w:t>
      </w:r>
    </w:p>
    <w:p w:rsidR="00472176" w:rsidRPr="00171A22" w:rsidRDefault="00472176" w:rsidP="00746AF2">
      <w:pPr>
        <w:spacing w:line="276" w:lineRule="auto"/>
        <w:ind w:left="284"/>
        <w:jc w:val="both"/>
        <w:rPr>
          <w:i/>
          <w:sz w:val="22"/>
          <w:szCs w:val="22"/>
        </w:rPr>
      </w:pPr>
      <w:r w:rsidRPr="00171A22">
        <w:rPr>
          <w:i/>
          <w:sz w:val="22"/>
          <w:szCs w:val="22"/>
        </w:rPr>
        <w:lastRenderedPageBreak/>
        <w:t xml:space="preserve">Ponadto, zgodnie z art. 12a ustawy Prawo budowlane, samodzielne funkcje techniczne </w:t>
      </w:r>
      <w:r w:rsidR="003A60A2" w:rsidRPr="00171A22">
        <w:rPr>
          <w:i/>
          <w:sz w:val="22"/>
          <w:szCs w:val="22"/>
        </w:rPr>
        <w:br/>
      </w:r>
      <w:r w:rsidRPr="00171A22">
        <w:rPr>
          <w:i/>
          <w:sz w:val="22"/>
          <w:szCs w:val="22"/>
        </w:rPr>
        <w:t xml:space="preserve">w budownictwie, określone w art. 12 ust. 1 ustawy Prawo budowlane, mogą również wykonywać osoby, których odpowiednie kwalifikacje zawodowe zostały uznane na zasadach określonych </w:t>
      </w:r>
      <w:r w:rsidR="003A60A2" w:rsidRPr="00171A22">
        <w:rPr>
          <w:i/>
          <w:sz w:val="22"/>
          <w:szCs w:val="22"/>
        </w:rPr>
        <w:br/>
      </w:r>
      <w:r w:rsidRPr="00171A22">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3A60A2">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lastRenderedPageBreak/>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3A60A2">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3A60A2">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3A60A2">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3A60A2">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3A60A2">
        <w:rPr>
          <w:iCs/>
          <w:sz w:val="22"/>
          <w:szCs w:val="22"/>
        </w:rPr>
        <w:br/>
      </w:r>
      <w:r w:rsidR="003A3D8A" w:rsidRPr="00E45DA3">
        <w:rPr>
          <w:iCs/>
          <w:sz w:val="22"/>
          <w:szCs w:val="22"/>
        </w:rPr>
        <w:t xml:space="preserve">z informacjami na temat ich kwalifikacji zawodowych, uprawnień, doświadczenia </w:t>
      </w:r>
      <w:r w:rsidR="003A60A2">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w:t>
      </w:r>
      <w:r w:rsidRPr="00E45DA3">
        <w:rPr>
          <w:rFonts w:ascii="Times New Roman" w:hAnsi="Times New Roman"/>
          <w:shd w:val="clear" w:color="auto" w:fill="FFFFFF"/>
        </w:rPr>
        <w:lastRenderedPageBreak/>
        <w:t xml:space="preserve">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3A60A2">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C030D3">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lastRenderedPageBreak/>
        <w:t>Uwaga</w:t>
      </w:r>
      <w:r w:rsidR="004E6F5D" w:rsidRPr="00974686">
        <w:rPr>
          <w:rFonts w:ascii="Times New Roman" w:hAnsi="Times New Roman"/>
          <w:b/>
          <w:u w:val="single"/>
        </w:rPr>
        <w:t>! Na podstawie art. 24aa ustawy zamawiający może, najpierw dokonać oceny ofert, 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Pr="00171A22" w:rsidRDefault="005939FD" w:rsidP="00106940">
      <w:pPr>
        <w:tabs>
          <w:tab w:val="left" w:pos="426"/>
        </w:tabs>
        <w:spacing w:line="276" w:lineRule="auto"/>
        <w:jc w:val="both"/>
        <w:rPr>
          <w:b/>
          <w:sz w:val="22"/>
          <w:szCs w:val="22"/>
        </w:rPr>
      </w:pPr>
      <w:r w:rsidRPr="00E45DA3">
        <w:rPr>
          <w:sz w:val="22"/>
          <w:szCs w:val="22"/>
        </w:rPr>
        <w:t>1.</w:t>
      </w:r>
      <w:r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171A22">
        <w:rPr>
          <w:b/>
          <w:sz w:val="22"/>
          <w:szCs w:val="22"/>
        </w:rPr>
        <w:t xml:space="preserve">nie dłużej niż </w:t>
      </w:r>
      <w:r w:rsidR="00467D8C" w:rsidRPr="00171A22">
        <w:rPr>
          <w:b/>
          <w:sz w:val="22"/>
          <w:szCs w:val="22"/>
        </w:rPr>
        <w:t xml:space="preserve">do </w:t>
      </w:r>
      <w:r w:rsidR="000D796C">
        <w:rPr>
          <w:b/>
          <w:sz w:val="22"/>
          <w:szCs w:val="22"/>
        </w:rPr>
        <w:t>28.09</w:t>
      </w:r>
      <w:r w:rsidR="00623206" w:rsidRPr="00171A22">
        <w:rPr>
          <w:b/>
          <w:sz w:val="22"/>
          <w:szCs w:val="22"/>
        </w:rPr>
        <w:t>.201</w:t>
      </w:r>
      <w:r w:rsidR="00974686" w:rsidRPr="00171A22">
        <w:rPr>
          <w:b/>
          <w:sz w:val="22"/>
          <w:szCs w:val="22"/>
        </w:rPr>
        <w:t>8</w:t>
      </w:r>
      <w:r w:rsidR="00106940" w:rsidRPr="00171A22">
        <w:rPr>
          <w:b/>
          <w:sz w:val="22"/>
          <w:szCs w:val="22"/>
        </w:rPr>
        <w:t xml:space="preserve"> </w:t>
      </w:r>
      <w:r w:rsidR="00346B84" w:rsidRPr="00171A22">
        <w:rPr>
          <w:b/>
          <w:sz w:val="22"/>
          <w:szCs w:val="22"/>
        </w:rPr>
        <w:t>r</w:t>
      </w:r>
      <w:r w:rsidR="003B44D3" w:rsidRPr="00171A22">
        <w:rPr>
          <w:b/>
          <w:sz w:val="22"/>
          <w:szCs w:val="22"/>
        </w:rPr>
        <w:t xml:space="preserve">. </w:t>
      </w:r>
    </w:p>
    <w:p w:rsidR="009F21DA" w:rsidRPr="00E45DA3" w:rsidRDefault="00106940" w:rsidP="00C030D3">
      <w:pPr>
        <w:tabs>
          <w:tab w:val="left" w:pos="426"/>
        </w:tabs>
        <w:spacing w:line="276" w:lineRule="auto"/>
        <w:ind w:left="420" w:hanging="420"/>
        <w:jc w:val="both"/>
        <w:rPr>
          <w:sz w:val="22"/>
          <w:szCs w:val="22"/>
        </w:rPr>
      </w:pPr>
      <w:r w:rsidRPr="00E45DA3">
        <w:rPr>
          <w:sz w:val="22"/>
          <w:szCs w:val="22"/>
        </w:rPr>
        <w:t>2.</w:t>
      </w:r>
      <w:r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9F21DA" w:rsidP="00C030D3">
      <w:pPr>
        <w:tabs>
          <w:tab w:val="left" w:pos="426"/>
        </w:tabs>
        <w:spacing w:line="276" w:lineRule="auto"/>
        <w:ind w:left="420" w:hanging="420"/>
        <w:jc w:val="both"/>
        <w:rPr>
          <w:sz w:val="22"/>
          <w:szCs w:val="22"/>
        </w:rPr>
      </w:pPr>
      <w:r w:rsidRPr="00E45DA3">
        <w:rPr>
          <w:sz w:val="22"/>
          <w:szCs w:val="22"/>
        </w:rPr>
        <w:t>3</w:t>
      </w:r>
      <w:r w:rsidR="00106940" w:rsidRPr="00E45DA3">
        <w:rPr>
          <w:sz w:val="22"/>
          <w:szCs w:val="22"/>
        </w:rPr>
        <w:t>.</w:t>
      </w:r>
      <w:r w:rsidR="00106940" w:rsidRPr="00E45DA3">
        <w:rPr>
          <w:color w:val="FF0000"/>
          <w:sz w:val="22"/>
          <w:szCs w:val="22"/>
        </w:rPr>
        <w:tab/>
      </w:r>
      <w:r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Pr="00E45DA3">
        <w:rPr>
          <w:sz w:val="22"/>
          <w:szCs w:val="22"/>
        </w:rPr>
        <w:t xml:space="preserve">od dnia podpisania protokołu odbioru </w:t>
      </w:r>
      <w:r w:rsidR="00C203DC" w:rsidRPr="00E45DA3">
        <w:rPr>
          <w:sz w:val="22"/>
          <w:szCs w:val="22"/>
        </w:rPr>
        <w:t>końcowego robót</w:t>
      </w:r>
      <w:r w:rsidRPr="00E45DA3">
        <w:rPr>
          <w:sz w:val="22"/>
          <w:szCs w:val="22"/>
        </w:rPr>
        <w:t xml:space="preserve">. Okres gwarancji stanowi jedno z kryteriów oceny ofert. </w:t>
      </w:r>
    </w:p>
    <w:p w:rsidR="009F21DA" w:rsidRPr="00C23051" w:rsidRDefault="00106940" w:rsidP="00C030D3">
      <w:pPr>
        <w:tabs>
          <w:tab w:val="left" w:pos="426"/>
        </w:tabs>
        <w:spacing w:line="276" w:lineRule="auto"/>
        <w:ind w:left="420" w:hanging="420"/>
        <w:jc w:val="both"/>
        <w:rPr>
          <w:sz w:val="22"/>
          <w:szCs w:val="22"/>
        </w:rPr>
      </w:pPr>
      <w:r w:rsidRPr="00C23051">
        <w:rPr>
          <w:sz w:val="22"/>
          <w:szCs w:val="22"/>
        </w:rPr>
        <w:t>4.</w:t>
      </w:r>
      <w:r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9F21DA" w:rsidP="00C030D3">
      <w:pPr>
        <w:tabs>
          <w:tab w:val="left" w:pos="426"/>
        </w:tabs>
        <w:spacing w:line="276" w:lineRule="auto"/>
        <w:ind w:left="420" w:hanging="420"/>
        <w:jc w:val="both"/>
        <w:rPr>
          <w:sz w:val="22"/>
          <w:szCs w:val="22"/>
        </w:rPr>
      </w:pPr>
      <w:r w:rsidRPr="00C23051">
        <w:rPr>
          <w:sz w:val="22"/>
          <w:szCs w:val="22"/>
        </w:rPr>
        <w:t>5.</w:t>
      </w:r>
      <w:r w:rsidRPr="00C23051">
        <w:rPr>
          <w:sz w:val="22"/>
          <w:szCs w:val="22"/>
        </w:rPr>
        <w:tab/>
      </w:r>
      <w:r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732ACB" w:rsidRDefault="00AA4737" w:rsidP="00C030D3">
      <w:pPr>
        <w:pStyle w:val="pkt"/>
        <w:tabs>
          <w:tab w:val="num" w:pos="360"/>
        </w:tabs>
        <w:spacing w:before="0" w:after="0" w:line="276" w:lineRule="auto"/>
        <w:ind w:left="360" w:hanging="360"/>
        <w:rPr>
          <w:color w:val="FF0000"/>
          <w:sz w:val="22"/>
          <w:szCs w:val="22"/>
        </w:rPr>
      </w:pPr>
      <w:r w:rsidRPr="00E45DA3">
        <w:rPr>
          <w:color w:val="000000"/>
          <w:sz w:val="22"/>
          <w:szCs w:val="22"/>
        </w:rPr>
        <w:t xml:space="preserve">1. Wadium należy wnieść w </w:t>
      </w:r>
      <w:r w:rsidRPr="00171A22">
        <w:rPr>
          <w:sz w:val="22"/>
          <w:szCs w:val="22"/>
        </w:rPr>
        <w:t xml:space="preserve">wysokości </w:t>
      </w:r>
      <w:r w:rsidR="000D796C">
        <w:rPr>
          <w:b/>
          <w:sz w:val="22"/>
          <w:szCs w:val="22"/>
        </w:rPr>
        <w:t>4 000</w:t>
      </w:r>
      <w:r w:rsidRPr="00F15275">
        <w:rPr>
          <w:b/>
          <w:sz w:val="22"/>
          <w:szCs w:val="22"/>
        </w:rPr>
        <w:t xml:space="preserve"> zł</w:t>
      </w:r>
      <w:r w:rsidRPr="00F15275">
        <w:rPr>
          <w:sz w:val="22"/>
          <w:szCs w:val="22"/>
        </w:rPr>
        <w:t xml:space="preserve"> (słownie: </w:t>
      </w:r>
      <w:r w:rsidR="000D796C">
        <w:rPr>
          <w:sz w:val="22"/>
          <w:szCs w:val="22"/>
        </w:rPr>
        <w:t>cztery tysiące</w:t>
      </w:r>
      <w:r w:rsidR="00106940" w:rsidRPr="00F15275">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F15275">
        <w:rPr>
          <w:sz w:val="22"/>
          <w:szCs w:val="22"/>
        </w:rPr>
        <w:t>2.</w:t>
      </w:r>
      <w:r w:rsidRPr="00F15275">
        <w:rPr>
          <w:sz w:val="22"/>
          <w:szCs w:val="22"/>
        </w:rPr>
        <w:tab/>
      </w:r>
      <w:r w:rsidR="00AA4737" w:rsidRPr="00F15275">
        <w:rPr>
          <w:sz w:val="22"/>
          <w:szCs w:val="22"/>
        </w:rPr>
        <w:t>Wykonawca wno</w:t>
      </w:r>
      <w:r w:rsidR="002C6CD5" w:rsidRPr="00F15275">
        <w:rPr>
          <w:sz w:val="22"/>
          <w:szCs w:val="22"/>
        </w:rPr>
        <w:t xml:space="preserve">si </w:t>
      </w:r>
      <w:r w:rsidR="005B54CA" w:rsidRPr="00F15275">
        <w:rPr>
          <w:sz w:val="22"/>
          <w:szCs w:val="22"/>
        </w:rPr>
        <w:t>wadium w terminie do dnia</w:t>
      </w:r>
      <w:r w:rsidR="005B54CA" w:rsidRPr="00F15275">
        <w:rPr>
          <w:b/>
          <w:sz w:val="22"/>
          <w:szCs w:val="22"/>
        </w:rPr>
        <w:t xml:space="preserve"> </w:t>
      </w:r>
      <w:r w:rsidR="00D062F8" w:rsidRPr="00F15275">
        <w:rPr>
          <w:b/>
          <w:sz w:val="22"/>
          <w:szCs w:val="22"/>
        </w:rPr>
        <w:t>1</w:t>
      </w:r>
      <w:r w:rsidR="000D796C">
        <w:rPr>
          <w:b/>
          <w:sz w:val="22"/>
          <w:szCs w:val="22"/>
        </w:rPr>
        <w:t>5</w:t>
      </w:r>
      <w:r w:rsidR="00C73D80" w:rsidRPr="00F15275">
        <w:rPr>
          <w:b/>
          <w:sz w:val="22"/>
          <w:szCs w:val="22"/>
        </w:rPr>
        <w:t>.</w:t>
      </w:r>
      <w:r w:rsidR="00171A22" w:rsidRPr="00F15275">
        <w:rPr>
          <w:b/>
          <w:sz w:val="22"/>
          <w:szCs w:val="22"/>
        </w:rPr>
        <w:t>0</w:t>
      </w:r>
      <w:r w:rsidR="000D796C">
        <w:rPr>
          <w:b/>
          <w:sz w:val="22"/>
          <w:szCs w:val="22"/>
        </w:rPr>
        <w:t>3</w:t>
      </w:r>
      <w:r w:rsidR="00171A22" w:rsidRPr="00F15275">
        <w:rPr>
          <w:b/>
          <w:sz w:val="22"/>
          <w:szCs w:val="22"/>
        </w:rPr>
        <w:t>.2018</w:t>
      </w:r>
      <w:r w:rsidR="005B54CA" w:rsidRPr="00F15275">
        <w:rPr>
          <w:b/>
          <w:sz w:val="22"/>
          <w:szCs w:val="22"/>
        </w:rPr>
        <w:t xml:space="preserve"> r., do godziny </w:t>
      </w:r>
      <w:r w:rsidR="00FF6EA9" w:rsidRPr="00F15275">
        <w:rPr>
          <w:b/>
          <w:sz w:val="22"/>
          <w:szCs w:val="22"/>
        </w:rPr>
        <w:t>10:30</w:t>
      </w:r>
      <w:r w:rsidR="00FF6EA9" w:rsidRPr="00F15275">
        <w:rPr>
          <w:sz w:val="22"/>
          <w:szCs w:val="22"/>
        </w:rPr>
        <w:t>.</w:t>
      </w:r>
      <w:r w:rsidRPr="00F15275">
        <w:rPr>
          <w:sz w:val="22"/>
          <w:szCs w:val="22"/>
        </w:rPr>
        <w:t xml:space="preserve"> </w:t>
      </w:r>
      <w:r w:rsidR="00AA4737" w:rsidRPr="00F15275">
        <w:rPr>
          <w:sz w:val="22"/>
          <w:szCs w:val="22"/>
        </w:rPr>
        <w:t xml:space="preserve">Za skutecznie </w:t>
      </w:r>
      <w:r w:rsidR="00AA4737" w:rsidRPr="00171A22">
        <w:rPr>
          <w:sz w:val="22"/>
          <w:szCs w:val="22"/>
        </w:rPr>
        <w:t xml:space="preserve">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46 1020 4795 0000 9302 0331 9639, z dopiskiem na przelewie: „Wadium do postępowania WKI.ZP.271.</w:t>
      </w:r>
      <w:r w:rsidR="000D796C">
        <w:rPr>
          <w:sz w:val="22"/>
          <w:szCs w:val="22"/>
        </w:rPr>
        <w:t>15</w:t>
      </w:r>
      <w:r w:rsidR="003D46B2" w:rsidRPr="003D46B2">
        <w:rPr>
          <w:sz w:val="22"/>
          <w:szCs w:val="22"/>
        </w:rPr>
        <w:t>.2018.LT</w:t>
      </w:r>
      <w:r w:rsidR="00346B84" w:rsidRPr="003D46B2">
        <w:rPr>
          <w:sz w:val="22"/>
          <w:szCs w:val="22"/>
        </w:rPr>
        <w:t>”.</w:t>
      </w:r>
    </w:p>
    <w:p w:rsidR="00AA4737" w:rsidRPr="00B66074" w:rsidRDefault="00AA4737" w:rsidP="008F4F85">
      <w:pPr>
        <w:numPr>
          <w:ilvl w:val="1"/>
          <w:numId w:val="26"/>
        </w:numPr>
        <w:tabs>
          <w:tab w:val="clear" w:pos="1800"/>
          <w:tab w:val="num" w:pos="851"/>
        </w:tabs>
        <w:spacing w:line="276" w:lineRule="auto"/>
        <w:ind w:left="709" w:hanging="283"/>
        <w:jc w:val="both"/>
        <w:rPr>
          <w:b/>
          <w:sz w:val="22"/>
          <w:szCs w:val="22"/>
          <w:u w:val="single"/>
        </w:rPr>
      </w:pPr>
      <w:r w:rsidRPr="00E45DA3">
        <w:rPr>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xml:space="preserve">) - </w:t>
      </w:r>
      <w:r w:rsidRPr="00B66074">
        <w:rPr>
          <w:b/>
          <w:sz w:val="22"/>
          <w:szCs w:val="22"/>
          <w:u w:val="single"/>
        </w:rPr>
        <w:t xml:space="preserve">w kasie Zamawiającego, </w:t>
      </w:r>
      <w:r w:rsidR="00B66074">
        <w:rPr>
          <w:b/>
          <w:sz w:val="22"/>
          <w:szCs w:val="22"/>
          <w:u w:val="single"/>
        </w:rPr>
        <w:br/>
      </w:r>
      <w:r w:rsidRPr="00B66074">
        <w:rPr>
          <w:b/>
          <w:sz w:val="22"/>
          <w:szCs w:val="22"/>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 xml:space="preserve">dokument gwarancji/poręczenia sporządzony w języku obcym należy złożyć wraz </w:t>
      </w:r>
      <w:r w:rsidR="003A60A2">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lastRenderedPageBreak/>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3A60A2">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3A60A2">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3A60A2">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3A60A2">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lastRenderedPageBreak/>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3A60A2">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3D46B2">
        <w:rPr>
          <w:b/>
          <w:sz w:val="22"/>
          <w:szCs w:val="22"/>
        </w:rPr>
        <w:t>Franciszek Grzeszczak</w:t>
      </w:r>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lastRenderedPageBreak/>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3A60A2">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3A60A2" w:rsidRPr="002F6A86">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lastRenderedPageBreak/>
        <w:t>8) Wykonawca zobowiązuje się do regulacji istniejących studni kanalizacji sanitarnej 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3A60A2" w:rsidRPr="002F6A86">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14)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2F6A86"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3A60A2">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D062F8">
        <w:rPr>
          <w:b/>
          <w:color w:val="auto"/>
          <w:sz w:val="22"/>
          <w:szCs w:val="22"/>
        </w:rPr>
        <w:t xml:space="preserve">dnia </w:t>
      </w:r>
      <w:r w:rsidR="00D062F8" w:rsidRPr="00D062F8">
        <w:rPr>
          <w:b/>
          <w:color w:val="auto"/>
          <w:sz w:val="22"/>
          <w:szCs w:val="22"/>
        </w:rPr>
        <w:t>1</w:t>
      </w:r>
      <w:r w:rsidR="000D796C">
        <w:rPr>
          <w:b/>
          <w:color w:val="auto"/>
          <w:sz w:val="22"/>
          <w:szCs w:val="22"/>
        </w:rPr>
        <w:t>5</w:t>
      </w:r>
      <w:r w:rsidR="00171A22" w:rsidRPr="00F15275">
        <w:rPr>
          <w:b/>
          <w:color w:val="auto"/>
          <w:sz w:val="22"/>
          <w:szCs w:val="22"/>
        </w:rPr>
        <w:t>.0</w:t>
      </w:r>
      <w:r w:rsidR="000D796C">
        <w:rPr>
          <w:b/>
          <w:color w:val="auto"/>
          <w:sz w:val="22"/>
          <w:szCs w:val="22"/>
        </w:rPr>
        <w:t>3</w:t>
      </w:r>
      <w:r w:rsidR="00171A22" w:rsidRPr="00F15275">
        <w:rPr>
          <w:b/>
          <w:color w:val="auto"/>
          <w:sz w:val="22"/>
          <w:szCs w:val="22"/>
        </w:rPr>
        <w:t>.2018</w:t>
      </w:r>
      <w:r w:rsidRPr="00F15275">
        <w:rPr>
          <w:b/>
          <w:color w:val="auto"/>
          <w:sz w:val="22"/>
          <w:szCs w:val="22"/>
        </w:rPr>
        <w:t xml:space="preserve"> r., </w:t>
      </w:r>
      <w:r w:rsidRPr="00171A22">
        <w:rPr>
          <w:b/>
          <w:color w:val="auto"/>
          <w:sz w:val="22"/>
          <w:szCs w:val="22"/>
        </w:rPr>
        <w:t>do godz</w:t>
      </w:r>
      <w:r w:rsidRPr="00E45DA3">
        <w:rPr>
          <w:b/>
          <w:color w:val="auto"/>
          <w:sz w:val="22"/>
          <w:szCs w:val="22"/>
        </w:rPr>
        <w:t xml:space="preserve">.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3A60A2">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E45DA3">
        <w:rPr>
          <w:b/>
          <w:color w:val="auto"/>
          <w:sz w:val="22"/>
          <w:szCs w:val="22"/>
          <w:u w:val="single"/>
        </w:rPr>
        <w:t xml:space="preserve">w </w:t>
      </w:r>
      <w:r w:rsidR="009E4F69" w:rsidRPr="00171A22">
        <w:rPr>
          <w:b/>
          <w:color w:val="auto"/>
          <w:sz w:val="22"/>
          <w:szCs w:val="22"/>
          <w:u w:val="single"/>
        </w:rPr>
        <w:t>d</w:t>
      </w:r>
      <w:r w:rsidR="002C6CD5" w:rsidRPr="00171A22">
        <w:rPr>
          <w:b/>
          <w:color w:val="auto"/>
          <w:sz w:val="22"/>
          <w:szCs w:val="22"/>
          <w:u w:val="single"/>
        </w:rPr>
        <w:t>ni</w:t>
      </w:r>
      <w:r w:rsidR="00D2562E" w:rsidRPr="00171A22">
        <w:rPr>
          <w:b/>
          <w:color w:val="auto"/>
          <w:sz w:val="22"/>
          <w:szCs w:val="22"/>
          <w:u w:val="single"/>
        </w:rPr>
        <w:t xml:space="preserve">u </w:t>
      </w:r>
      <w:r w:rsidR="00D062F8" w:rsidRPr="00F15275">
        <w:rPr>
          <w:b/>
          <w:color w:val="auto"/>
          <w:sz w:val="22"/>
          <w:szCs w:val="22"/>
          <w:u w:val="single"/>
        </w:rPr>
        <w:t>1</w:t>
      </w:r>
      <w:r w:rsidR="000D796C">
        <w:rPr>
          <w:b/>
          <w:color w:val="auto"/>
          <w:sz w:val="22"/>
          <w:szCs w:val="22"/>
          <w:u w:val="single"/>
        </w:rPr>
        <w:t>5.03</w:t>
      </w:r>
      <w:r w:rsidR="00171A22" w:rsidRPr="00F15275">
        <w:rPr>
          <w:b/>
          <w:color w:val="auto"/>
          <w:sz w:val="22"/>
          <w:szCs w:val="22"/>
          <w:u w:val="single"/>
        </w:rPr>
        <w:t>.2018</w:t>
      </w:r>
      <w:r w:rsidR="00FF6EA9" w:rsidRPr="00F15275">
        <w:rPr>
          <w:b/>
          <w:color w:val="auto"/>
          <w:sz w:val="22"/>
          <w:szCs w:val="22"/>
          <w:u w:val="single"/>
        </w:rPr>
        <w:t xml:space="preserve"> </w:t>
      </w:r>
      <w:r w:rsidR="00FF6EA9" w:rsidRPr="00171A22">
        <w:rPr>
          <w:b/>
          <w:color w:val="auto"/>
          <w:sz w:val="22"/>
          <w:szCs w:val="22"/>
          <w:u w:val="single"/>
        </w:rPr>
        <w:t>o godzinie 11:00</w:t>
      </w:r>
      <w:r w:rsidR="00FF6EA9" w:rsidRPr="00171A22">
        <w:rPr>
          <w:b/>
          <w:color w:val="auto"/>
          <w:sz w:val="22"/>
          <w:szCs w:val="22"/>
        </w:rPr>
        <w:t xml:space="preserve"> </w:t>
      </w:r>
      <w:r w:rsidR="008B3E07" w:rsidRPr="00171A22">
        <w:rPr>
          <w:b/>
          <w:color w:val="auto"/>
          <w:sz w:val="22"/>
          <w:szCs w:val="22"/>
        </w:rPr>
        <w:t xml:space="preserve">w Urzędzie Gminy </w:t>
      </w:r>
      <w:r w:rsidR="003A60A2">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lastRenderedPageBreak/>
        <w:t>3)</w:t>
      </w:r>
      <w:r w:rsidRPr="00E45DA3">
        <w:rPr>
          <w:sz w:val="22"/>
          <w:szCs w:val="22"/>
        </w:rPr>
        <w:tab/>
        <w:t xml:space="preserve">ceny, terminu wykonania zamówienia, okresu gwarancji i warunków płatności zawartych </w:t>
      </w:r>
      <w:r w:rsidR="003A60A2">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 xml:space="preserve">Zamawiający poprawi w ofercie oczywiste omyłki pisarskie oraz oczywiste omyłki rachunkowe, </w:t>
      </w:r>
      <w:r w:rsidR="003A60A2">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3A60A2">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3A60A2">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lastRenderedPageBreak/>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3A60A2">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lastRenderedPageBreak/>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3A60A2">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3A60A2">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w:t>
      </w:r>
      <w:r w:rsidR="00780798" w:rsidRPr="00E45DA3">
        <w:rPr>
          <w:color w:val="auto"/>
          <w:sz w:val="22"/>
          <w:szCs w:val="22"/>
        </w:rPr>
        <w:t>I</w:t>
      </w:r>
      <w:r w:rsidRPr="00E45DA3">
        <w:rPr>
          <w:color w:val="auto"/>
          <w:sz w:val="22"/>
          <w:szCs w:val="22"/>
        </w:rPr>
        <w:t>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376B99" w:rsidRPr="00732ACB" w:rsidRDefault="00E8182C" w:rsidP="00E8182C">
      <w:pPr>
        <w:autoSpaceDE w:val="0"/>
        <w:ind w:left="426" w:hanging="426"/>
        <w:jc w:val="both"/>
        <w:rPr>
          <w:color w:val="FF0000"/>
          <w:sz w:val="22"/>
          <w:szCs w:val="22"/>
        </w:rPr>
      </w:pPr>
      <w:r w:rsidRPr="00E8182C">
        <w:rPr>
          <w:sz w:val="22"/>
          <w:szCs w:val="22"/>
        </w:rPr>
        <w:t>1.</w:t>
      </w:r>
      <w:r w:rsidRPr="00E8182C">
        <w:rPr>
          <w:sz w:val="22"/>
          <w:szCs w:val="22"/>
        </w:rPr>
        <w:tab/>
      </w:r>
      <w:r w:rsidR="00376B99" w:rsidRPr="00F15275">
        <w:rPr>
          <w:sz w:val="22"/>
          <w:szCs w:val="22"/>
        </w:rPr>
        <w:t>Przedmiotem zamówienia jest</w:t>
      </w:r>
      <w:r w:rsidR="00B66074" w:rsidRPr="00F15275">
        <w:rPr>
          <w:sz w:val="22"/>
          <w:szCs w:val="22"/>
        </w:rPr>
        <w:t xml:space="preserve"> </w:t>
      </w:r>
      <w:r w:rsidR="000D796C">
        <w:rPr>
          <w:sz w:val="22"/>
          <w:szCs w:val="22"/>
        </w:rPr>
        <w:t>budowa chodnika ze zjazdami wzdłuż ulicy Długiej w Mierzynie z kostki brukowej betonowej na podbudowie pi</w:t>
      </w:r>
      <w:r w:rsidR="00AE2716">
        <w:rPr>
          <w:sz w:val="22"/>
          <w:szCs w:val="22"/>
        </w:rPr>
        <w:t>asko</w:t>
      </w:r>
      <w:r w:rsidR="000D796C">
        <w:rPr>
          <w:sz w:val="22"/>
          <w:szCs w:val="22"/>
        </w:rPr>
        <w:t xml:space="preserve">wo-betonowej. </w:t>
      </w:r>
    </w:p>
    <w:p w:rsidR="00787D7D" w:rsidRPr="00497418" w:rsidRDefault="00787D7D" w:rsidP="00787D7D">
      <w:pPr>
        <w:pStyle w:val="Akapitzlist"/>
        <w:numPr>
          <w:ilvl w:val="1"/>
          <w:numId w:val="16"/>
        </w:numPr>
        <w:tabs>
          <w:tab w:val="left" w:pos="851"/>
          <w:tab w:val="num" w:pos="1985"/>
        </w:tabs>
        <w:autoSpaceDE w:val="0"/>
        <w:autoSpaceDN w:val="0"/>
        <w:adjustRightInd w:val="0"/>
        <w:ind w:left="426" w:hanging="426"/>
        <w:jc w:val="both"/>
        <w:rPr>
          <w:rFonts w:ascii="Times New Roman" w:hAnsi="Times New Roman"/>
          <w:bCs/>
        </w:rPr>
      </w:pPr>
      <w:r w:rsidRPr="00497418">
        <w:rPr>
          <w:rFonts w:ascii="Times New Roman" w:hAnsi="Times New Roman"/>
        </w:rPr>
        <w:t xml:space="preserve">Wspólny Słownik Zamówień CPV: </w:t>
      </w:r>
      <w:r w:rsidR="000D796C">
        <w:rPr>
          <w:rFonts w:ascii="Times New Roman" w:hAnsi="Times New Roman"/>
        </w:rPr>
        <w:t>45233260-9.</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lastRenderedPageBreak/>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3A60A2">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3A60A2">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3A60A2">
        <w:rPr>
          <w:rFonts w:ascii="Times New Roman" w:hAnsi="Times New Roman"/>
          <w:b/>
          <w:u w:val="single"/>
        </w:rPr>
        <w:br/>
      </w:r>
      <w:r w:rsidRPr="00830E16">
        <w:rPr>
          <w:rFonts w:ascii="Times New Roman" w:hAnsi="Times New Roman"/>
          <w:b/>
          <w:u w:val="single"/>
        </w:rPr>
        <w:t>w dniu podpisania umowy.</w:t>
      </w:r>
    </w:p>
    <w:p w:rsidR="00F253EF" w:rsidRPr="00481938" w:rsidRDefault="00F253EF" w:rsidP="00A1062C">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A1062C" w:rsidRDefault="00A1062C" w:rsidP="00A1062C">
      <w:pPr>
        <w:numPr>
          <w:ilvl w:val="0"/>
          <w:numId w:val="31"/>
        </w:numPr>
        <w:suppressAutoHyphens/>
        <w:spacing w:after="240" w:line="276" w:lineRule="auto"/>
        <w:ind w:left="709" w:hanging="425"/>
        <w:jc w:val="both"/>
        <w:rPr>
          <w:sz w:val="22"/>
          <w:szCs w:val="22"/>
        </w:rPr>
      </w:pPr>
      <w:r w:rsidRPr="00A1062C">
        <w:rPr>
          <w:sz w:val="22"/>
          <w:szCs w:val="22"/>
        </w:rPr>
        <w:t xml:space="preserve">Zamawiający przewiduje możliwości udzielenia zamówień o których mowa w art. 67 ust.1 pkt 6 ustawy PZP do </w:t>
      </w:r>
      <w:r w:rsidR="000D796C">
        <w:rPr>
          <w:b/>
          <w:sz w:val="22"/>
          <w:szCs w:val="22"/>
        </w:rPr>
        <w:t>50</w:t>
      </w:r>
      <w:r w:rsidRPr="00A1062C">
        <w:rPr>
          <w:b/>
          <w:sz w:val="22"/>
          <w:szCs w:val="22"/>
        </w:rPr>
        <w:t>% wartości</w:t>
      </w:r>
      <w:r w:rsidRPr="00A1062C">
        <w:rPr>
          <w:sz w:val="22"/>
          <w:szCs w:val="22"/>
        </w:rPr>
        <w:t xml:space="preserve"> </w:t>
      </w:r>
      <w:r w:rsidRPr="00A1062C">
        <w:rPr>
          <w:b/>
          <w:sz w:val="22"/>
          <w:szCs w:val="22"/>
        </w:rPr>
        <w:t>zamówienia podstawowego</w:t>
      </w:r>
      <w:r w:rsidRPr="00A1062C">
        <w:rPr>
          <w:sz w:val="22"/>
          <w:szCs w:val="22"/>
        </w:rPr>
        <w:t xml:space="preserve">, </w:t>
      </w:r>
      <w:r w:rsidRPr="00497418">
        <w:rPr>
          <w:sz w:val="22"/>
          <w:szCs w:val="22"/>
        </w:rPr>
        <w:t xml:space="preserve">prace polegające </w:t>
      </w:r>
      <w:r w:rsidR="00945780" w:rsidRPr="00497418">
        <w:rPr>
          <w:sz w:val="22"/>
          <w:szCs w:val="22"/>
        </w:rPr>
        <w:t xml:space="preserve">na </w:t>
      </w:r>
      <w:r w:rsidR="00BA7317" w:rsidRPr="00497418">
        <w:rPr>
          <w:sz w:val="22"/>
          <w:szCs w:val="22"/>
        </w:rPr>
        <w:t xml:space="preserve">zwiększonych zakresach wykonania </w:t>
      </w:r>
      <w:r w:rsidR="000D796C">
        <w:rPr>
          <w:sz w:val="22"/>
          <w:szCs w:val="22"/>
        </w:rPr>
        <w:t>wykopów pod koryto chodnika, podbudowy chodnika, nawierzchni z kostki brukowej, wywozu gruzu i urobku ziemi, regulacji studni kanalizacyjnych, rurociągów kanalizacyjnych, studni rewizyjnych, studni ściekowych</w:t>
      </w:r>
      <w:r w:rsidR="00497418" w:rsidRPr="00497418">
        <w:rPr>
          <w:sz w:val="22"/>
          <w:szCs w:val="22"/>
        </w:rPr>
        <w:t>,</w:t>
      </w:r>
      <w:r w:rsidR="00222877">
        <w:rPr>
          <w:sz w:val="22"/>
          <w:szCs w:val="22"/>
        </w:rPr>
        <w:t xml:space="preserve"> które będą rozliczane na warunkach analogicznych do umowy podstawowej tj. wg. stawek jednostkowych przyjętych w kosztorysie ofertowym Wykonawcy</w:t>
      </w:r>
      <w:r>
        <w:rPr>
          <w:sz w:val="22"/>
          <w:szCs w:val="22"/>
        </w:rPr>
        <w:t>.</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3A60A2">
        <w:rPr>
          <w:sz w:val="22"/>
          <w:szCs w:val="22"/>
        </w:rPr>
        <w:br/>
      </w:r>
      <w:r w:rsidRPr="00E45DA3">
        <w:rPr>
          <w:sz w:val="22"/>
          <w:szCs w:val="22"/>
        </w:rPr>
        <w:t xml:space="preserve">w terminie 14 dni od dnia otrzymania projektu umowy lub jego zmiany, pisemnych zastrzeżeń, </w:t>
      </w:r>
      <w:r w:rsidRPr="00E45DA3">
        <w:rPr>
          <w:sz w:val="22"/>
          <w:szCs w:val="22"/>
        </w:rPr>
        <w:lastRenderedPageBreak/>
        <w:t xml:space="preserve">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3A60A2">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3A60A2">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lastRenderedPageBreak/>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Pr>
          <w:rFonts w:ascii="Times New Roman" w:hAnsi="Times New Roman"/>
          <w:b/>
        </w:rPr>
        <w:b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3A60A2">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4F1DBE">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lastRenderedPageBreak/>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3A60A2">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3A60A2">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3A60A2">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3A60A2">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lastRenderedPageBreak/>
        <w:t>9</w:t>
      </w:r>
      <w:r w:rsidR="00F259F8">
        <w:rPr>
          <w:sz w:val="22"/>
          <w:szCs w:val="22"/>
        </w:rPr>
        <w:t>)</w:t>
      </w:r>
      <w:r w:rsidR="00650A4C" w:rsidRPr="00E45DA3">
        <w:rPr>
          <w:sz w:val="22"/>
          <w:szCs w:val="22"/>
        </w:rPr>
        <w:tab/>
      </w:r>
      <w:r w:rsidR="00F41579" w:rsidRPr="00E45DA3">
        <w:rPr>
          <w:sz w:val="22"/>
          <w:szCs w:val="22"/>
        </w:rPr>
        <w:t>Zatrudnienie:</w:t>
      </w:r>
    </w:p>
    <w:p w:rsidR="00AC0237" w:rsidRPr="00732ACB" w:rsidRDefault="00EC4B69" w:rsidP="00C030D3">
      <w:pPr>
        <w:tabs>
          <w:tab w:val="left" w:pos="360"/>
        </w:tabs>
        <w:spacing w:line="276" w:lineRule="auto"/>
        <w:ind w:left="708" w:hanging="424"/>
        <w:jc w:val="both"/>
        <w:rPr>
          <w:i/>
          <w:color w:val="FF0000"/>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w:t>
      </w:r>
      <w:r w:rsidR="00C432DC" w:rsidRPr="00497418">
        <w:rPr>
          <w:sz w:val="22"/>
          <w:szCs w:val="22"/>
        </w:rPr>
        <w:t>zakresie realizacji zamówienia</w:t>
      </w:r>
      <w:r w:rsidR="009532F9" w:rsidRPr="00497418">
        <w:rPr>
          <w:sz w:val="22"/>
          <w:szCs w:val="22"/>
        </w:rPr>
        <w:t>:</w:t>
      </w:r>
      <w:r w:rsidR="009F46DC" w:rsidRPr="00497418">
        <w:rPr>
          <w:sz w:val="22"/>
          <w:szCs w:val="22"/>
        </w:rPr>
        <w:t xml:space="preserve"> </w:t>
      </w:r>
      <w:r w:rsidR="00945780" w:rsidRPr="00497418">
        <w:rPr>
          <w:sz w:val="22"/>
          <w:szCs w:val="22"/>
        </w:rPr>
        <w:t xml:space="preserve">wykonanie podbudowy i układanie </w:t>
      </w:r>
      <w:r w:rsidR="000D796C">
        <w:rPr>
          <w:sz w:val="22"/>
          <w:szCs w:val="22"/>
        </w:rPr>
        <w:t xml:space="preserve">krawężników oraz </w:t>
      </w:r>
      <w:r w:rsidR="00945780" w:rsidRPr="00497418">
        <w:rPr>
          <w:sz w:val="22"/>
          <w:szCs w:val="22"/>
        </w:rPr>
        <w:t>kostki brukowej betonowej</w:t>
      </w:r>
      <w:r w:rsidR="000D796C">
        <w:rPr>
          <w:sz w:val="22"/>
          <w:szCs w:val="22"/>
        </w:rPr>
        <w:t>.</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3A60A2">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3A60A2">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6A121D" w:rsidRDefault="006A121D" w:rsidP="006A121D">
      <w:pPr>
        <w:ind w:left="5664"/>
        <w:jc w:val="center"/>
        <w:rPr>
          <w:sz w:val="22"/>
          <w:szCs w:val="22"/>
        </w:rPr>
      </w:pPr>
      <w:r>
        <w:rPr>
          <w:sz w:val="22"/>
          <w:szCs w:val="22"/>
        </w:rPr>
        <w:t>Wójt Gminy Dobra</w:t>
      </w:r>
    </w:p>
    <w:p w:rsidR="006A121D" w:rsidRDefault="006A121D" w:rsidP="006A121D">
      <w:pPr>
        <w:ind w:left="5664"/>
        <w:jc w:val="center"/>
        <w:rPr>
          <w:sz w:val="22"/>
          <w:szCs w:val="22"/>
        </w:rPr>
      </w:pPr>
      <w:r>
        <w:rPr>
          <w:sz w:val="22"/>
          <w:szCs w:val="22"/>
        </w:rPr>
        <w:t>Teresa Dera</w:t>
      </w:r>
    </w:p>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r w:rsidRPr="00F70989">
        <w:rPr>
          <w:sz w:val="22"/>
          <w:szCs w:val="22"/>
        </w:rPr>
        <w:t>zat</w:t>
      </w:r>
      <w:bookmarkStart w:id="0" w:name="_GoBack"/>
      <w:bookmarkEnd w:id="0"/>
      <w:r w:rsidRPr="00F70989">
        <w:rPr>
          <w:sz w:val="22"/>
          <w:szCs w:val="22"/>
        </w:rPr>
        <w:t>wierdził w imieniu</w:t>
      </w:r>
      <w:r w:rsidR="00F259F8">
        <w:rPr>
          <w:sz w:val="22"/>
          <w:szCs w:val="22"/>
        </w:rPr>
        <w:t xml:space="preserve"> Z</w:t>
      </w:r>
      <w:r>
        <w:rPr>
          <w:sz w:val="22"/>
          <w:szCs w:val="22"/>
        </w:rPr>
        <w:t>amawiającego</w:t>
      </w:r>
    </w:p>
    <w:sectPr w:rsidR="00F70989" w:rsidRPr="00F70989"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2C0" w:rsidRDefault="00EF52C0" w:rsidP="00830C62">
      <w:r>
        <w:separator/>
      </w:r>
    </w:p>
  </w:endnote>
  <w:endnote w:type="continuationSeparator" w:id="0">
    <w:p w:rsidR="00EF52C0" w:rsidRDefault="00EF52C0"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F15275" w:rsidRPr="00830C62" w:rsidRDefault="00F15275">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6A121D">
              <w:rPr>
                <w:bCs/>
                <w:noProof/>
              </w:rPr>
              <w:t>21</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6A121D">
              <w:rPr>
                <w:bCs/>
                <w:noProof/>
              </w:rPr>
              <w:t>21</w:t>
            </w:r>
            <w:r w:rsidRPr="00830C62">
              <w:rPr>
                <w:bCs/>
              </w:rPr>
              <w:fldChar w:fldCharType="end"/>
            </w:r>
          </w:p>
        </w:sdtContent>
      </w:sdt>
    </w:sdtContent>
  </w:sdt>
  <w:p w:rsidR="00F15275" w:rsidRDefault="00F152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2C0" w:rsidRDefault="00EF52C0" w:rsidP="00830C62">
      <w:r>
        <w:separator/>
      </w:r>
    </w:p>
  </w:footnote>
  <w:footnote w:type="continuationSeparator" w:id="0">
    <w:p w:rsidR="00EF52C0" w:rsidRDefault="00EF52C0"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2"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3"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3"/>
    <w:lvlOverride w:ilvl="0">
      <w:startOverride w:val="1"/>
    </w:lvlOverride>
  </w:num>
  <w:num w:numId="4">
    <w:abstractNumId w:val="32"/>
    <w:lvlOverride w:ilvl="0">
      <w:startOverride w:val="1"/>
    </w:lvlOverride>
  </w:num>
  <w:num w:numId="5">
    <w:abstractNumId w:val="2"/>
    <w:lvlOverride w:ilvl="0">
      <w:startOverride w:val="1"/>
    </w:lvlOverride>
  </w:num>
  <w:num w:numId="6">
    <w:abstractNumId w:val="8"/>
    <w:lvlOverride w:ilvl="0">
      <w:startOverride w:val="1"/>
    </w:lvlOverride>
  </w:num>
  <w:num w:numId="7">
    <w:abstractNumId w:val="16"/>
    <w:lvlOverride w:ilvl="0">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27"/>
  </w:num>
  <w:num w:numId="19">
    <w:abstractNumId w:val="16"/>
  </w:num>
  <w:num w:numId="20">
    <w:abstractNumId w:val="19"/>
  </w:num>
  <w:num w:numId="21">
    <w:abstractNumId w:val="6"/>
  </w:num>
  <w:num w:numId="22">
    <w:abstractNumId w:val="9"/>
  </w:num>
  <w:num w:numId="23">
    <w:abstractNumId w:val="26"/>
  </w:num>
  <w:num w:numId="24">
    <w:abstractNumId w:val="4"/>
  </w:num>
  <w:num w:numId="25">
    <w:abstractNumId w:val="28"/>
  </w:num>
  <w:num w:numId="26">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0"/>
  </w:num>
  <w:num w:numId="32">
    <w:abstractNumId w:val="15"/>
  </w:num>
  <w:num w:numId="33">
    <w:abstractNumId w:val="14"/>
  </w:num>
  <w:num w:numId="34">
    <w:abstractNumId w:val="1"/>
  </w:num>
  <w:num w:numId="35">
    <w:abstractNumId w:val="0"/>
  </w:num>
  <w:num w:numId="36">
    <w:abstractNumId w:val="12"/>
  </w:num>
  <w:num w:numId="37">
    <w:abstractNumId w:val="11"/>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6515"/>
    <w:rsid w:val="000D60E1"/>
    <w:rsid w:val="000D796C"/>
    <w:rsid w:val="000E5D14"/>
    <w:rsid w:val="000F3B52"/>
    <w:rsid w:val="000F7094"/>
    <w:rsid w:val="000F7A4D"/>
    <w:rsid w:val="00103F49"/>
    <w:rsid w:val="00105593"/>
    <w:rsid w:val="001065AF"/>
    <w:rsid w:val="00106940"/>
    <w:rsid w:val="00114B9E"/>
    <w:rsid w:val="0012189D"/>
    <w:rsid w:val="00130EFD"/>
    <w:rsid w:val="001325A2"/>
    <w:rsid w:val="00150A85"/>
    <w:rsid w:val="00161790"/>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4230"/>
    <w:rsid w:val="001E3EF5"/>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6B3"/>
    <w:rsid w:val="002A6FB2"/>
    <w:rsid w:val="002A7F2D"/>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10926"/>
    <w:rsid w:val="0041223F"/>
    <w:rsid w:val="00414854"/>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3307"/>
    <w:rsid w:val="006A121D"/>
    <w:rsid w:val="006A4B0A"/>
    <w:rsid w:val="006A7CAD"/>
    <w:rsid w:val="006B1BB4"/>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F004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575E3"/>
    <w:rsid w:val="00866E31"/>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9152D"/>
    <w:rsid w:val="00991673"/>
    <w:rsid w:val="009A53F5"/>
    <w:rsid w:val="009B392F"/>
    <w:rsid w:val="009B4284"/>
    <w:rsid w:val="009B6496"/>
    <w:rsid w:val="009C1E8A"/>
    <w:rsid w:val="009C6A19"/>
    <w:rsid w:val="009D4539"/>
    <w:rsid w:val="009E379A"/>
    <w:rsid w:val="009E4F69"/>
    <w:rsid w:val="009E5023"/>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A142B"/>
    <w:rsid w:val="00AA2D24"/>
    <w:rsid w:val="00AA38C3"/>
    <w:rsid w:val="00AA4506"/>
    <w:rsid w:val="00AA4737"/>
    <w:rsid w:val="00AA47BB"/>
    <w:rsid w:val="00AB15A3"/>
    <w:rsid w:val="00AB2504"/>
    <w:rsid w:val="00AC0237"/>
    <w:rsid w:val="00AC24DA"/>
    <w:rsid w:val="00AC3F07"/>
    <w:rsid w:val="00AC55FD"/>
    <w:rsid w:val="00AD5697"/>
    <w:rsid w:val="00AD7C5C"/>
    <w:rsid w:val="00AE01C7"/>
    <w:rsid w:val="00AE2041"/>
    <w:rsid w:val="00AE2716"/>
    <w:rsid w:val="00AE3CC0"/>
    <w:rsid w:val="00AE3E37"/>
    <w:rsid w:val="00AE7227"/>
    <w:rsid w:val="00AF4BFF"/>
    <w:rsid w:val="00AF77FF"/>
    <w:rsid w:val="00B0252D"/>
    <w:rsid w:val="00B02D3D"/>
    <w:rsid w:val="00B053DE"/>
    <w:rsid w:val="00B10DEB"/>
    <w:rsid w:val="00B11C66"/>
    <w:rsid w:val="00B144C4"/>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5273F"/>
    <w:rsid w:val="00C64333"/>
    <w:rsid w:val="00C70078"/>
    <w:rsid w:val="00C73D80"/>
    <w:rsid w:val="00C86BEF"/>
    <w:rsid w:val="00C919B9"/>
    <w:rsid w:val="00C93939"/>
    <w:rsid w:val="00C941E4"/>
    <w:rsid w:val="00C972DC"/>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EF52C0"/>
    <w:rsid w:val="00F07933"/>
    <w:rsid w:val="00F15275"/>
    <w:rsid w:val="00F21A19"/>
    <w:rsid w:val="00F22F95"/>
    <w:rsid w:val="00F24316"/>
    <w:rsid w:val="00F253EF"/>
    <w:rsid w:val="00F259F8"/>
    <w:rsid w:val="00F31FAB"/>
    <w:rsid w:val="00F41579"/>
    <w:rsid w:val="00F42C09"/>
    <w:rsid w:val="00F446B2"/>
    <w:rsid w:val="00F500C9"/>
    <w:rsid w:val="00F53A0C"/>
    <w:rsid w:val="00F543DF"/>
    <w:rsid w:val="00F55F2B"/>
    <w:rsid w:val="00F57E6E"/>
    <w:rsid w:val="00F614A3"/>
    <w:rsid w:val="00F70989"/>
    <w:rsid w:val="00F71FAC"/>
    <w:rsid w:val="00F772D1"/>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6453"/>
  <w15:docId w15:val="{1BFDEFFD-5ADE-4A98-A48E-021E2AA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9AD6-3D42-4F13-8536-26FFAA44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21</Pages>
  <Words>8487</Words>
  <Characters>50925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74</cp:revision>
  <cp:lastPrinted>2018-02-23T10:15:00Z</cp:lastPrinted>
  <dcterms:created xsi:type="dcterms:W3CDTF">2017-07-11T07:23:00Z</dcterms:created>
  <dcterms:modified xsi:type="dcterms:W3CDTF">2018-02-26T13:27:00Z</dcterms:modified>
</cp:coreProperties>
</file>